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240" w:line="276" w:lineRule="auto"/>
        <w:jc w:val="center"/>
        <w:rPr>
          <w:b w:val="1"/>
        </w:rPr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CHECKLIST - ENTENDIMENTO DO TEMA E DO OBJETO DE FISCALIZAÇÃO</w:t>
      </w:r>
    </w:p>
    <w:p w:rsidR="00000000" w:rsidDel="00000000" w:rsidP="00000000" w:rsidRDefault="00000000" w:rsidRPr="00000000" w14:paraId="00000002">
      <w:pPr>
        <w:widowControl w:val="0"/>
        <w:spacing w:line="276" w:lineRule="auto"/>
        <w:jc w:val="center"/>
        <w:rPr>
          <w:b w:val="1"/>
        </w:rPr>
      </w:pPr>
      <w:bookmarkStart w:colFirst="0" w:colLast="0" w:name="_uxuld6im2pz8" w:id="1"/>
      <w:bookmarkEnd w:id="1"/>
      <w:r w:rsidDel="00000000" w:rsidR="00000000" w:rsidRPr="00000000">
        <w:rPr>
          <w:rtl w:val="0"/>
        </w:rPr>
      </w:r>
    </w:p>
    <w:tbl>
      <w:tblPr>
        <w:tblStyle w:val="Table1"/>
        <w:tblW w:w="13572.00000000000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93.5533530967596"/>
        <w:gridCol w:w="893.5533530967596"/>
        <w:gridCol w:w="903.1520707569784"/>
        <w:gridCol w:w="903.1520707569784"/>
        <w:gridCol w:w="260"/>
        <w:gridCol w:w="260"/>
        <w:gridCol w:w="2658.866075068406"/>
        <w:gridCol w:w="3399.86153861206"/>
        <w:gridCol w:w="3399.86153861206"/>
        <w:tblGridChange w:id="0">
          <w:tblGrid>
            <w:gridCol w:w="893.5533530967596"/>
            <w:gridCol w:w="893.5533530967596"/>
            <w:gridCol w:w="903.1520707569784"/>
            <w:gridCol w:w="903.1520707569784"/>
            <w:gridCol w:w="260"/>
            <w:gridCol w:w="260"/>
            <w:gridCol w:w="2658.866075068406"/>
            <w:gridCol w:w="3399.86153861206"/>
            <w:gridCol w:w="3399.86153861206"/>
          </w:tblGrid>
        </w:tblGridChange>
      </w:tblGrid>
      <w:tr>
        <w:trPr>
          <w:cantSplit w:val="0"/>
          <w:trHeight w:val="300" w:hRule="atLeast"/>
          <w:tblHeader w:val="1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Técnica: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Trabalho avaliado: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 Responsável:</w:t>
            </w:r>
          </w:p>
          <w:p w:rsidR="00000000" w:rsidDel="00000000" w:rsidP="00000000" w:rsidRDefault="00000000" w:rsidRPr="00000000" w14:paraId="00000016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Membros:</w:t>
            </w:r>
          </w:p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Coordenador:</w:t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Supervisor: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tbl>
      <w:tblPr>
        <w:tblStyle w:val="Table2"/>
        <w:tblW w:w="135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920"/>
        <w:gridCol w:w="2475"/>
        <w:gridCol w:w="6180"/>
        <w:tblGridChange w:id="0">
          <w:tblGrid>
            <w:gridCol w:w="4920"/>
            <w:gridCol w:w="2475"/>
            <w:gridCol w:w="6180"/>
          </w:tblGrid>
        </w:tblGridChange>
      </w:tblGrid>
      <w:tr>
        <w:trPr>
          <w:cantSplit w:val="0"/>
          <w:trHeight w:val="28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Avaliação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924.90234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</w:t>
              <w:tab/>
              <w:t xml:space="preserve">A Equipe de Auditoria (ou Auditor) desenvolveu e documentou um entendimento do tema e do objeto de fiscalização?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943266571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-O Entendimento do Tema e do Objeto de Fiscalização foi desenvolvido e anexado ao SGF.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O Entendimento do Tema e do Objeto de Fiscalização não foi desenvolvido.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4.90234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O Entendimento do Tema e do Objeto descreveu o panorama do jurisdicionado (itens 1 a 5)?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995504424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O Entendimento do Tema e do Objeto descreve o panorama do jurisdicionado (itens 1 a 5).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both"/>
              <w:rPr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O Entendimento do Tema e do Objeto não descreve o panorama do jurisdicionado (itens 1 a 5).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59.9055118110236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O Entendimento do Tema e do Objeto descreveu  a organização, objetivos e estratégias do jurisdicionado (itens 6 a 14)?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463828546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O  Entendimento do Tema e do Objeto descreve as organização, objetivos e estratégias do jurisdicionado (itens 6 a 14).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both"/>
              <w:rPr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 O  Entendimento do Tema e do Objeto não descreve as organização, objetivos e estratégias do jurisdicionado (itens 6 a 14).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 O Entendimento do Tema e do Objeto descreveu  as medidas de desempenho do jurisdicionado (itens 15 e 16)?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750779179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O Entendimento do Tema e do Objeto descreve as medidas de desempenho do jurisdicionado (itens 15 e 16).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O Entendimento do Tema e do Objeto não descreve as medidas de desempenho do jurisdicionado (itens 15 e 16).</w:t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 O Entendimento do Tema e do Objeto descreveu  os componentes de controles internos em que o objeto está inserido (itens 17 a 26)?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593575156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O Entendimento do Tema e do Objeto descreve os componentes de controles internos em que o objeto está inserido (itens 17 a 26).</w:t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both"/>
              <w:rPr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O Entendimento do Tema e do Objeto não descreve os componentes de controles internos em que o objeto está inserido (itens 17 a 26).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widowControl w:val="0"/>
        <w:spacing w:before="24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1906" w:w="16838" w:orient="landscape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3"/>
      <w:tblW w:w="13958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10958"/>
      <w:tblGridChange w:id="0">
        <w:tblGrid>
          <w:gridCol w:w="3000"/>
          <w:gridCol w:w="10958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48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gjdgxs" w:id="0"/>
          <w:bookmarkEnd w:id="0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9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4A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4B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4C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