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ENTENDIMENTO DO OBJETO DE FISCALIZAÇÃO </w:t>
      </w:r>
    </w:p>
    <w:p w:rsidR="00000000" w:rsidDel="00000000" w:rsidP="00000000" w:rsidRDefault="00000000" w:rsidRPr="00000000" w14:paraId="00000002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3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7.0" w:type="dxa"/>
        <w:jc w:val="left"/>
        <w:tblInd w:w="-15.0" w:type="dxa"/>
        <w:tblBorders>
          <w:top w:color="cc4125" w:space="0" w:sz="12" w:val="single"/>
          <w:left w:color="cc4125" w:space="0" w:sz="12" w:val="single"/>
          <w:bottom w:color="cc4125" w:space="0" w:sz="12" w:val="single"/>
          <w:right w:color="cc4125" w:space="0" w:sz="12" w:val="single"/>
        </w:tblBorders>
        <w:tblLayout w:type="fixed"/>
        <w:tblLook w:val="0600"/>
      </w:tblPr>
      <w:tblGrid>
        <w:gridCol w:w="4530"/>
        <w:gridCol w:w="4527"/>
        <w:tblGridChange w:id="0">
          <w:tblGrid>
            <w:gridCol w:w="4530"/>
            <w:gridCol w:w="452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Questões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Arial" w:cs="Arial" w:eastAsia="Arial" w:hAnsi="Arial"/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c4587"/>
                <w:sz w:val="20"/>
                <w:szCs w:val="20"/>
                <w:rtl w:val="0"/>
              </w:rPr>
              <w:t xml:space="preserve">Descrição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Panorama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Legislação que regulamenta a entidade (marco regulatório)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Missão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Visão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Valores fundamentais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Competências e atribuições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Organização, objetivos e estratégias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Objetivos da entidade (estratégicos e de negócios)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Principais políticas 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estratégias para atingir os objetivos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Riscos relacionados aos objetivos e estratégias da entidade que possam resultar em não conformidades relevantes.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organizacional e operacional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283" w:hanging="283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Estrutura de governança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11. Macroprocessos (áreas, funções e atividades relevante para a realização dos objetivos) e seus responsáveis em todos os níveis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Fluxograma, mapa de processo ou diagrama de blocos das principais atividades e processos da 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ind w:left="22" w:firstLine="22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Principais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programas, funções ou projetos administrados pela entidade (Ver Plano Plurianual - PPA e Lei Orçamentária Anual - LOA).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Recursos financeiros, humanos e outros.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Medidas de desempenho do jurisdicionado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15. Como o desempenho da entidade é mensurado e revisado?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(metas, indicadores-chaves de desempenho)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16. Existem relatórios periódicos de desempenho da entidade? (Ex. Relatórios de Gestão ou de atividades/ Relatórios Integrados ou de Sustentabilidade)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fe2f3" w:val="clear"/>
          </w:tcPr>
          <w:p w:rsidR="00000000" w:rsidDel="00000000" w:rsidP="00000000" w:rsidRDefault="00000000" w:rsidRPr="00000000" w14:paraId="00000031">
            <w:pPr>
              <w:tabs>
                <w:tab w:val="left" w:leader="none" w:pos="306"/>
              </w:tabs>
              <w:spacing w:line="360" w:lineRule="auto"/>
              <w:ind w:left="164" w:hanging="107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Componentes de controles internos em que o objeto está inserido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17.</w:t>
              <w:tab/>
              <w:t xml:space="preserve">Há definição clara de responsabilidades, competências e atribuições no projeto/programa/atividade?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18. Os deveres e responsabilidades essenciais à operacionalização do objeto são divididos ou segregados entre diferentes pessoas para reduzir o risco de ocorrerem erros, desperdícios ou fraudes?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19. Existe programa de educação continuada, para a área auditada, efetivamente executada com ações de capacitação orientadas para melhorar o desempenho dos servidores?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20. Todos os procedimentos e instruções operacionais referentes ao objeto auditado são padronizados formalmente?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21.</w:t>
              <w:tab/>
              <w:t xml:space="preserve">Os possíveis riscos que afetam o objeto avaliado foram identificados, e se existem ações para mitigá-los?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22.</w:t>
              <w:tab/>
              <w:t xml:space="preserve">Na ocorrência de indícios de fraudes e desvios em relação ao objeto auditado, é prática da unidade responsável instaurar sindicância para apurar responsabilidades e exigir ressarcimentos?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306"/>
              </w:tabs>
              <w:spacing w:line="259" w:lineRule="auto"/>
              <w:ind w:left="57" w:right="153" w:firstLine="0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23. Quando necessário, os gestores determinam ações corretivas com vistas ao aperfeiçoamento da estrutura de controle interno referente ao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tabs>
                <w:tab w:val="left" w:leader="none" w:pos="306"/>
              </w:tabs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24. As informações consideradas relevantes para o objeto auditado são devidamente identificadas, documentadas, armazenadas e comunicadas tempestivamente às pessoas adequadas?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25. Existem padrões para medir periodicamente o desempenho dos objetivos e metas do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line="259" w:lineRule="auto"/>
              <w:ind w:left="0" w:right="153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26. Quando necessário, os gestores determinam ações corretivas com vistas ao alcance de metas do objeto auditado?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160" w:line="259" w:lineRule="auto"/>
              <w:rPr>
                <w:rFonts w:ascii="Arial" w:cs="Arial" w:eastAsia="Arial" w:hAnsi="Arial"/>
                <w:color w:val="181717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4A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C">
            <w:pPr>
              <w:widowControl w:val="0"/>
              <w:spacing w:after="57" w:before="57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51">
      <w:pPr>
        <w:widowControl w:val="0"/>
        <w:spacing w:after="57" w:before="57" w:line="240" w:lineRule="auto"/>
        <w:jc w:val="both"/>
        <w:rPr>
          <w:b w:val="1"/>
          <w:color w:val="1c4587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do quadro de entendimento do objeto de fiscalização</w:t>
      </w:r>
      <w:r w:rsidDel="00000000" w:rsidR="00000000" w:rsidRPr="00000000">
        <w:rPr>
          <w:rtl w:val="0"/>
        </w:rPr>
      </w:r>
    </w:p>
    <w:tbl>
      <w:tblPr>
        <w:tblStyle w:val="Table4"/>
        <w:tblW w:w="90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15"/>
        <w:gridCol w:w="7200"/>
        <w:tblGridChange w:id="0">
          <w:tblGrid>
            <w:gridCol w:w="1815"/>
            <w:gridCol w:w="7200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12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objetivo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deste papel de trabalho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é de estabelecer e documentar um entendimento do objeto de fiscalização, a partir do jurisdicionado e de seu ambiente.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Requisito NBASP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NBASP 100/45</w:t>
            </w:r>
          </w:p>
        </w:tc>
      </w:tr>
      <w:tr>
        <w:trPr>
          <w:cantSplit w:val="0"/>
          <w:trHeight w:val="4538.61328125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Guia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5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1. ENTENDIMENTO DO OBJETO DE FISCALIZAÇÃO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auditor precisa entender o jurisdicionado e o seu ambiente para avaliar os riscos de desconformidades nas suas operações e atividades.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Baseada na lista fornecida na matriz acima, o auditor consegue reunir um entendimento geral do jurisdicionado, levando em consideração ambos fatores internos e externos. O auditor deve entender os negócios/atividades essenciais do jurisdicionado. Ao documentar o entendimento do jurisdicionado e seu ambiente, o auditor precisa ter em mente os riscos relacionados ao jurisdicionado (riscos de negócio ou riscos da entidade) que possam ocorrer durante as operações deste e que possam resultar em desconformidades materiais ao jurisdicionado (papel de trabalho “Identificação e análise dos riscos”).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0070c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entendimento da entidade pode ser originado a partir de técnicas de coleta de dados, como entrevistas, observação e de procedimentos analíticos. A escolha de qual procedimento utilizar e a extensão da sua aplicação depende de julgamento profissional do auditor sobre o alcance e a profundidade do entendimento necessário em cada auditoria. 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Considere a lista de fontes documentais fornecidas na tabela abaixo como possíveis fontes para encontrar e documentar a informação necessária.</w:t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1f497d"/>
                <w:sz w:val="18"/>
                <w:szCs w:val="18"/>
                <w:rtl w:val="0"/>
              </w:rPr>
              <w:t xml:space="preserve">Fontes potenciais de documentos para entender a entidade: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6180.0" w:type="dxa"/>
              <w:jc w:val="left"/>
              <w:tblBorders>
                <w:top w:color="c00000" w:space="0" w:sz="12" w:val="single"/>
                <w:left w:color="c00000" w:space="0" w:sz="12" w:val="single"/>
                <w:bottom w:color="c00000" w:space="0" w:sz="12" w:val="single"/>
                <w:right w:color="c00000" w:space="0" w:sz="12" w:val="single"/>
              </w:tblBorders>
              <w:tblLayout w:type="fixed"/>
              <w:tblLook w:val="0600"/>
            </w:tblPr>
            <w:tblGrid>
              <w:gridCol w:w="585"/>
              <w:gridCol w:w="5595"/>
              <w:tblGridChange w:id="0">
                <w:tblGrid>
                  <w:gridCol w:w="585"/>
                  <w:gridCol w:w="5595"/>
                </w:tblGrid>
              </w:tblGridChange>
            </w:tblGrid>
            <w:tr>
              <w:trPr>
                <w:cantSplit w:val="0"/>
                <w:tblHeader w:val="1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0e0e3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4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6"/>
                      <w:szCs w:val="16"/>
                      <w:rtl w:val="0"/>
                    </w:rPr>
                    <w:t xml:space="preserve">nº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0e0e3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5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6"/>
                      <w:szCs w:val="16"/>
                      <w:rtl w:val="0"/>
                    </w:rPr>
                    <w:t xml:space="preserve">Documentos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6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1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7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Lista de leis, regras e regulamentações que são relevantes e aplicáveis </w:t>
                  </w:r>
                </w:p>
              </w:tc>
            </w:tr>
            <w:tr>
              <w:trPr>
                <w:cantSplit w:val="0"/>
                <w:trHeight w:val="290.976562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8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2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9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Mandatos, cargos/funções e responsabilidades da organização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A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3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B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Orçamento aprovado pelo governo, projetos e ONGs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C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4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D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Outras fontes de financiamento do jurisdicionado 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E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5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6F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Documento relativo ao planejamento da entidade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0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6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1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Fluxograma, mapa de processo ou diagrama de blocos das atividades e processos da entidade.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2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7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3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Relatório de desempenho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4">
                  <w:pPr>
                    <w:widowControl w:val="0"/>
                    <w:spacing w:line="360" w:lineRule="auto"/>
                    <w:jc w:val="center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8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75">
                  <w:pPr>
                    <w:widowControl w:val="0"/>
                    <w:spacing w:line="360" w:lineRule="auto"/>
                    <w:rPr>
                      <w:rFonts w:ascii="Arial" w:cs="Arial" w:eastAsia="Arial" w:hAnsi="Arial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6"/>
                      <w:szCs w:val="16"/>
                      <w:rtl w:val="0"/>
                    </w:rPr>
                    <w:t xml:space="preserve">Relatórios de auditoria passados e relatórios de auditoria interna</w:t>
                  </w:r>
                </w:p>
              </w:tc>
            </w:tr>
          </w:tbl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59" w:lineRule="auto"/>
              <w:ind w:left="57" w:right="1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Ademais, 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 Tribunais de Contas devem promover a instituição e o efetivo funcionamento dos sistemas de controle interno das entidades fiscalizadas. Para entender a entidade auditada ou o objeto, o auditor também precisa entender o sistema de controle interno.</w:t>
            </w:r>
          </w:p>
          <w:p w:rsidR="00000000" w:rsidDel="00000000" w:rsidP="00000000" w:rsidRDefault="00000000" w:rsidRPr="00000000" w14:paraId="00000078">
            <w:pPr>
              <w:spacing w:line="259" w:lineRule="auto"/>
              <w:ind w:left="57" w:right="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59" w:lineRule="auto"/>
              <w:ind w:left="57" w:right="1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tipo particular de controles sobre o qual o auditor foca dependerá do objeto e da natureza específica e do escopo da auditoria. Como o objeto pode ser qualitativo ou quantitativo, o auditor irá focar em controles internos quantitativos ou qualitativos ou em uma combinação destes, de acordo com o escopo de auditoria. Na avaliação de controles internos, o auditor avalia o risco de eles não prevenirem ou não detectarem casos relevantes de não conformidade e de má gestão.</w:t>
            </w:r>
          </w:p>
          <w:p w:rsidR="00000000" w:rsidDel="00000000" w:rsidP="00000000" w:rsidRDefault="00000000" w:rsidRPr="00000000" w14:paraId="0000007A">
            <w:pPr>
              <w:spacing w:line="259" w:lineRule="auto"/>
              <w:ind w:left="57" w:right="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59" w:lineRule="auto"/>
              <w:ind w:left="57" w:right="1" w:firstLine="0"/>
              <w:jc w:val="both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papel de trabalho traz um modelo orientativo, podendo ser reformulado de acordo com a entidade e o objeto auditado.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b6d7a8" w:space="0" w:sz="8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Conclusão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b6d7a8" w:space="0" w:sz="8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coordenador da equipe de auditoria precisa verificar se as informações são claras e suficientes para compreensão do objeto de fiscalização e das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áreas significativas do ambiente de controles sob avaliação.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b6d7a8" w:space="0" w:sz="8" w:val="single"/>
              <w:left w:color="6d9eeb" w:space="0" w:sz="12" w:val="single"/>
              <w:bottom w:color="6d9eeb" w:space="0" w:sz="12" w:val="single"/>
              <w:right w:color="b6d7a8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b6d7a8" w:space="0" w:sz="8" w:val="single"/>
              <w:left w:color="b6d7a8" w:space="0" w:sz="8" w:val="single"/>
              <w:bottom w:color="6d9eeb" w:space="0" w:sz="12" w:val="single"/>
              <w:right w:color="6d9eeb" w:space="0" w:sz="12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tabelas indicando os nomes das pessoas que elaboraram e documentaram o material e o nome do coordenador precisam estar completas.</w:t>
            </w:r>
          </w:p>
        </w:tc>
      </w:tr>
    </w:tbl>
    <w:p w:rsidR="00000000" w:rsidDel="00000000" w:rsidP="00000000" w:rsidRDefault="00000000" w:rsidRPr="00000000" w14:paraId="00000081">
      <w:pPr>
        <w:widowControl w:val="0"/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1fob9te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3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6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4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5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86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8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9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widowControl w:val="0"/>
      <w:tabs>
        <w:tab w:val="center" w:leader="none" w:pos="4702"/>
        <w:tab w:val="right" w:leader="none" w:pos="9405"/>
      </w:tabs>
      <w:spacing w:line="240" w:lineRule="auto"/>
      <w:rPr/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6" w:customStyle="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E02F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E02F8"/>
    <w:rPr>
      <w:rFonts w:ascii="Segoe UI" w:cs="Segoe UI" w:hAnsi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BE02F8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BE02F8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523E9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eWbSwTAOB04wF4bQAKWqRcddRQ==">CgMxLjAyCWguM3pueXNoNzIIaC5namRneHMyCWguMzBqMHpsbDIJaC4xZm9iOXRlOAByITE1MEtQYVNZbWpfdzFIck1wc1hhMzNyN2ctcF9IdHp5bw==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2024-02-22T20:47:00Z</dcterms:created>
  <dc:creator>Helida de Fatima Gontijo</dc:creator>
</cp:coreProperties>
</file>